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48B" w:rsidRDefault="0057148B" w:rsidP="0054043E">
      <w:pPr>
        <w:jc w:val="left"/>
      </w:pPr>
      <w:bookmarkStart w:id="0" w:name="_GoBack"/>
      <w:bookmarkEnd w:id="0"/>
    </w:p>
    <w:p w:rsidR="005069CF" w:rsidRDefault="005069CF" w:rsidP="0054043E"/>
    <w:p w:rsidR="005069CF" w:rsidRDefault="005069CF" w:rsidP="0054043E"/>
    <w:p w:rsidR="00DB0F09" w:rsidRDefault="00DB0F09" w:rsidP="0054043E"/>
    <w:p w:rsidR="0008033D" w:rsidRDefault="00DB6525" w:rsidP="0054043E">
      <w:r>
        <w:t>Health Care Treatment Option: Vaccine Hesitance</w:t>
      </w:r>
    </w:p>
    <w:p w:rsidR="00DB0F09" w:rsidRDefault="00DB0F09" w:rsidP="0054043E">
      <w:r>
        <w:t>Name</w:t>
      </w:r>
      <w:r w:rsidR="00721420">
        <w:t xml:space="preserve"> of Student</w:t>
      </w:r>
      <w:r>
        <w:t>:</w:t>
      </w:r>
    </w:p>
    <w:p w:rsidR="004B78AB" w:rsidRDefault="00DB0F09" w:rsidP="0054043E">
      <w:r>
        <w:t>Institution</w:t>
      </w:r>
      <w:r w:rsidR="00721420">
        <w:t>al Affiliation</w:t>
      </w:r>
      <w:r>
        <w:t>:</w:t>
      </w:r>
    </w:p>
    <w:p w:rsidR="00DB0F09" w:rsidRDefault="00DB0F09" w:rsidP="0054043E"/>
    <w:p w:rsidR="005069CF" w:rsidRDefault="005069CF" w:rsidP="0054043E"/>
    <w:p w:rsidR="005069CF" w:rsidRDefault="005069CF" w:rsidP="0054043E"/>
    <w:p w:rsidR="005069CF" w:rsidRDefault="005069CF" w:rsidP="0054043E"/>
    <w:p w:rsidR="00F472E0" w:rsidRDefault="00F472E0" w:rsidP="0054043E"/>
    <w:p w:rsidR="0057148B" w:rsidRDefault="0057148B" w:rsidP="0054043E">
      <w:pPr>
        <w:rPr>
          <w:b/>
        </w:rPr>
      </w:pPr>
    </w:p>
    <w:p w:rsidR="00DB0F09" w:rsidRDefault="00DB0F09" w:rsidP="0054043E">
      <w:r>
        <w:br w:type="page"/>
      </w:r>
    </w:p>
    <w:p w:rsidR="00DB6525" w:rsidRDefault="00DB6525" w:rsidP="0054043E">
      <w:r>
        <w:lastRenderedPageBreak/>
        <w:t>Health Care Treatment Option: Vaccine Hesitance</w:t>
      </w:r>
    </w:p>
    <w:p w:rsidR="00DB6525" w:rsidRDefault="00DB6525" w:rsidP="0054043E">
      <w:pPr>
        <w:ind w:firstLine="720"/>
        <w:jc w:val="left"/>
      </w:pPr>
      <w:r>
        <w:t xml:space="preserve">Vaccine hesitance refers to an impediment in the refusal or acceptance of vaccines despite them being readily available. In its nature, the process of vaccine hesitancy is quite complex and varies across variables such as place, time, and vaccines. Therefore, addressing this problem requires an acute comprehension of the degree and setting of the problem; a proper diagnosis of underlying causes; structured evidence-based methodologies that address causes; and evaluation and monitoring to determine intervention impacts. On one hand, vaccine hesitancy may be positive while on the other quite the contrary. One positive benefit of this type of treatment is safety. </w:t>
      </w:r>
      <w:r w:rsidRPr="00BE67E5">
        <w:t>McKee &amp; Bohannon</w:t>
      </w:r>
      <w:r>
        <w:t xml:space="preserve"> (2016), note that the major reason for the refusal of immunization programs by parents was due to safety concerns. Most media outlets often demonize vaccines as carriers of diseases and unforeseen side effects. Moreover, reports also note that children may also suffer from autism, brain damage, and behavioral problems among others </w:t>
      </w:r>
      <w:r w:rsidRPr="00BE67E5">
        <w:t>(McKee &amp; Bohannon, 2016)</w:t>
      </w:r>
      <w:r>
        <w:t xml:space="preserve">. Lack of confidence in vaccines is presently a threat to immunization programs </w:t>
      </w:r>
      <w:r w:rsidRPr="00DA0E79">
        <w:t>(</w:t>
      </w:r>
      <w:proofErr w:type="spellStart"/>
      <w:r w:rsidRPr="00DA0E79">
        <w:t>Dubé</w:t>
      </w:r>
      <w:proofErr w:type="spellEnd"/>
      <w:r w:rsidRPr="00DA0E79">
        <w:t xml:space="preserve"> et al., 2013)</w:t>
      </w:r>
    </w:p>
    <w:p w:rsidR="00DB6525" w:rsidRDefault="00DB6525" w:rsidP="0054043E">
      <w:pPr>
        <w:ind w:firstLine="720"/>
        <w:jc w:val="left"/>
      </w:pPr>
      <w:r>
        <w:t xml:space="preserve">Conversely, vaccine hesitance has numerous negative benefits to those who implement it. The present rise in vaccine hesitancy has brought about an increasing number of children </w:t>
      </w:r>
      <w:proofErr w:type="gramStart"/>
      <w:r>
        <w:t>being placed</w:t>
      </w:r>
      <w:proofErr w:type="gramEnd"/>
      <w:r>
        <w:t xml:space="preserve"> on alternative schedules. Consequently, this preference has resulted in the exponential and unnecessary increase of “risk exposures” to Vaccine Preventable Disease (VPD) </w:t>
      </w:r>
      <w:r w:rsidRPr="00831A18">
        <w:t>(</w:t>
      </w:r>
      <w:proofErr w:type="spellStart"/>
      <w:r w:rsidRPr="00831A18">
        <w:t>Gowda</w:t>
      </w:r>
      <w:proofErr w:type="spellEnd"/>
      <w:r w:rsidRPr="00831A18">
        <w:t xml:space="preserve"> &amp; Dempsey, 2013)</w:t>
      </w:r>
      <w:r>
        <w:t>. Therefore, the increase in VPDs is the highest demerit of this treatment option. In order to effect legislative changes there are various steps required both at the state and federally. In Maryland, to enable legislation on health insurance of this treatment option, there is a need for various strategies. These strategies include an increase of political awareness in the treatment option; getting to know local legislators; offering your opinion through letters or e-</w:t>
      </w:r>
      <w:r>
        <w:lastRenderedPageBreak/>
        <w:t xml:space="preserve">mail; introducing the new legislation to chambers; and serving in a task force. In addition, since legislative processes are long and tedious, personality strategies such as politeness, patience, personalization in communication, being a good listener, and honesty are an added advantage. </w:t>
      </w:r>
    </w:p>
    <w:p w:rsidR="00DB6525" w:rsidRDefault="00DB6525" w:rsidP="0054043E">
      <w:pPr>
        <w:jc w:val="left"/>
      </w:pPr>
    </w:p>
    <w:p w:rsidR="00DB6525" w:rsidRDefault="00DB6525" w:rsidP="0054043E">
      <w:pPr>
        <w:jc w:val="left"/>
      </w:pPr>
    </w:p>
    <w:p w:rsidR="00DB6525" w:rsidRDefault="00DB6525" w:rsidP="0054043E">
      <w:pPr>
        <w:jc w:val="left"/>
      </w:pPr>
    </w:p>
    <w:p w:rsidR="00DB6525" w:rsidRDefault="00DB6525" w:rsidP="0054043E">
      <w:pPr>
        <w:jc w:val="left"/>
      </w:pPr>
    </w:p>
    <w:p w:rsidR="00DB6525" w:rsidRDefault="00DB6525" w:rsidP="0054043E">
      <w:pPr>
        <w:jc w:val="left"/>
      </w:pPr>
    </w:p>
    <w:p w:rsidR="00DB6525" w:rsidRDefault="00DB6525" w:rsidP="0054043E">
      <w:pPr>
        <w:jc w:val="left"/>
      </w:pPr>
    </w:p>
    <w:p w:rsidR="00DB6525" w:rsidRDefault="00DB6525" w:rsidP="0054043E">
      <w:pPr>
        <w:jc w:val="left"/>
      </w:pPr>
    </w:p>
    <w:p w:rsidR="00DB6525" w:rsidRDefault="00DB6525" w:rsidP="0054043E">
      <w:pPr>
        <w:jc w:val="left"/>
      </w:pPr>
    </w:p>
    <w:p w:rsidR="00DB6525" w:rsidRDefault="00DB6525" w:rsidP="0054043E">
      <w:pPr>
        <w:jc w:val="left"/>
      </w:pPr>
    </w:p>
    <w:p w:rsidR="00DB6525" w:rsidRDefault="00DB6525" w:rsidP="0054043E">
      <w:pPr>
        <w:jc w:val="left"/>
      </w:pPr>
    </w:p>
    <w:p w:rsidR="00DB6525" w:rsidRDefault="00DB6525" w:rsidP="0054043E">
      <w:pPr>
        <w:jc w:val="left"/>
      </w:pPr>
    </w:p>
    <w:p w:rsidR="00DB6525" w:rsidRDefault="00DB6525" w:rsidP="0054043E">
      <w:pPr>
        <w:jc w:val="left"/>
      </w:pPr>
    </w:p>
    <w:p w:rsidR="00DB6525" w:rsidRDefault="00DB6525" w:rsidP="0054043E">
      <w:pPr>
        <w:jc w:val="left"/>
      </w:pPr>
    </w:p>
    <w:p w:rsidR="00DB6525" w:rsidRDefault="00DB6525" w:rsidP="0054043E">
      <w:pPr>
        <w:jc w:val="left"/>
      </w:pPr>
    </w:p>
    <w:p w:rsidR="00DB6525" w:rsidRDefault="00DB6525" w:rsidP="0054043E">
      <w:pPr>
        <w:jc w:val="left"/>
      </w:pPr>
    </w:p>
    <w:p w:rsidR="00DB6525" w:rsidRDefault="00DB6525" w:rsidP="0054043E">
      <w:pPr>
        <w:jc w:val="left"/>
      </w:pPr>
    </w:p>
    <w:p w:rsidR="00DB6525" w:rsidRDefault="00DB6525" w:rsidP="0054043E">
      <w:pPr>
        <w:jc w:val="left"/>
      </w:pPr>
    </w:p>
    <w:p w:rsidR="00DB6525" w:rsidRDefault="00DB6525" w:rsidP="0054043E">
      <w:pPr>
        <w:jc w:val="left"/>
      </w:pPr>
    </w:p>
    <w:p w:rsidR="00DB6525" w:rsidRDefault="00DB6525" w:rsidP="0054043E">
      <w:pPr>
        <w:jc w:val="left"/>
      </w:pPr>
    </w:p>
    <w:p w:rsidR="00DB6525" w:rsidRDefault="00DB6525" w:rsidP="0054043E">
      <w:pPr>
        <w:jc w:val="left"/>
      </w:pPr>
    </w:p>
    <w:p w:rsidR="0054043E" w:rsidRDefault="0054043E" w:rsidP="0054043E">
      <w:r>
        <w:lastRenderedPageBreak/>
        <w:t>References</w:t>
      </w:r>
    </w:p>
    <w:p w:rsidR="00DB6525" w:rsidRDefault="00DB6525" w:rsidP="0054043E">
      <w:pPr>
        <w:ind w:left="720" w:hanging="720"/>
        <w:jc w:val="left"/>
      </w:pPr>
      <w:proofErr w:type="spellStart"/>
      <w:r w:rsidRPr="00BE67E5">
        <w:t>Dubé</w:t>
      </w:r>
      <w:proofErr w:type="spellEnd"/>
      <w:r w:rsidRPr="00BE67E5">
        <w:t xml:space="preserve">, E., </w:t>
      </w:r>
      <w:proofErr w:type="spellStart"/>
      <w:r w:rsidRPr="00BE67E5">
        <w:t>Laberge</w:t>
      </w:r>
      <w:proofErr w:type="spellEnd"/>
      <w:r w:rsidRPr="00BE67E5">
        <w:t xml:space="preserve">, C., </w:t>
      </w:r>
      <w:proofErr w:type="spellStart"/>
      <w:r w:rsidRPr="00BE67E5">
        <w:t>Guay</w:t>
      </w:r>
      <w:proofErr w:type="spellEnd"/>
      <w:r w:rsidRPr="00BE67E5">
        <w:t xml:space="preserve">, M., </w:t>
      </w:r>
      <w:proofErr w:type="spellStart"/>
      <w:r w:rsidRPr="00BE67E5">
        <w:t>Bramadat</w:t>
      </w:r>
      <w:proofErr w:type="spellEnd"/>
      <w:r w:rsidRPr="00BE67E5">
        <w:t xml:space="preserve">, P., Roy, R., &amp; </w:t>
      </w:r>
      <w:proofErr w:type="spellStart"/>
      <w:r w:rsidRPr="00BE67E5">
        <w:t>Bettinger</w:t>
      </w:r>
      <w:proofErr w:type="spellEnd"/>
      <w:r w:rsidRPr="00BE67E5">
        <w:t>, J. (2013). Vaccine hesitancy. </w:t>
      </w:r>
      <w:r w:rsidRPr="00BE67E5">
        <w:rPr>
          <w:i/>
          <w:iCs/>
        </w:rPr>
        <w:t xml:space="preserve">Human Vaccines &amp; </w:t>
      </w:r>
      <w:proofErr w:type="spellStart"/>
      <w:r w:rsidRPr="00BE67E5">
        <w:rPr>
          <w:i/>
          <w:iCs/>
        </w:rPr>
        <w:t>Immunotherapeutics</w:t>
      </w:r>
      <w:proofErr w:type="spellEnd"/>
      <w:r w:rsidRPr="00BE67E5">
        <w:t>, </w:t>
      </w:r>
      <w:r w:rsidRPr="00BE67E5">
        <w:rPr>
          <w:i/>
          <w:iCs/>
        </w:rPr>
        <w:t>9</w:t>
      </w:r>
      <w:r w:rsidRPr="00BE67E5">
        <w:t xml:space="preserve">(8), 1763-1773. </w:t>
      </w:r>
      <w:hyperlink r:id="rId7" w:history="1">
        <w:r w:rsidRPr="003D026F">
          <w:rPr>
            <w:rStyle w:val="Hyperlink"/>
          </w:rPr>
          <w:t>http://dx.doi.org/10.4161/hv.24657</w:t>
        </w:r>
      </w:hyperlink>
    </w:p>
    <w:p w:rsidR="00DB6525" w:rsidRDefault="00DB6525" w:rsidP="0054043E">
      <w:pPr>
        <w:ind w:left="720" w:hanging="720"/>
        <w:jc w:val="left"/>
      </w:pPr>
      <w:proofErr w:type="spellStart"/>
      <w:r w:rsidRPr="00BE67E5">
        <w:t>Gowda</w:t>
      </w:r>
      <w:proofErr w:type="spellEnd"/>
      <w:r w:rsidRPr="00BE67E5">
        <w:t>, C., &amp; Dempsey, A. (2013). The rise (and fall?) of parental vaccine hesitancy. </w:t>
      </w:r>
      <w:r w:rsidRPr="00BE67E5">
        <w:rPr>
          <w:i/>
          <w:iCs/>
        </w:rPr>
        <w:t xml:space="preserve">Human Vaccines &amp; </w:t>
      </w:r>
      <w:proofErr w:type="spellStart"/>
      <w:r w:rsidRPr="00BE67E5">
        <w:rPr>
          <w:i/>
          <w:iCs/>
        </w:rPr>
        <w:t>Immunotherapeutics</w:t>
      </w:r>
      <w:proofErr w:type="spellEnd"/>
      <w:r w:rsidRPr="00BE67E5">
        <w:t>, </w:t>
      </w:r>
      <w:r w:rsidRPr="00BE67E5">
        <w:rPr>
          <w:i/>
          <w:iCs/>
        </w:rPr>
        <w:t>9</w:t>
      </w:r>
      <w:r w:rsidRPr="00BE67E5">
        <w:t xml:space="preserve">(8), 1755-1762. </w:t>
      </w:r>
      <w:hyperlink r:id="rId8" w:history="1">
        <w:r w:rsidRPr="003D026F">
          <w:rPr>
            <w:rStyle w:val="Hyperlink"/>
          </w:rPr>
          <w:t>http://dx.doi.org/10.4161/hv.25085</w:t>
        </w:r>
      </w:hyperlink>
    </w:p>
    <w:p w:rsidR="00DB6525" w:rsidRDefault="00DB6525" w:rsidP="0054043E">
      <w:pPr>
        <w:ind w:left="720" w:hanging="720"/>
        <w:jc w:val="left"/>
      </w:pPr>
      <w:r w:rsidRPr="00BE67E5">
        <w:t xml:space="preserve">McKee, C., &amp; Bohannon, K. (2016). Exploring the Reasons </w:t>
      </w:r>
      <w:proofErr w:type="gramStart"/>
      <w:r w:rsidRPr="00BE67E5">
        <w:t>Behind</w:t>
      </w:r>
      <w:proofErr w:type="gramEnd"/>
      <w:r w:rsidRPr="00BE67E5">
        <w:t xml:space="preserve"> Parental Refusal of Vaccines. </w:t>
      </w:r>
      <w:r w:rsidRPr="00BE67E5">
        <w:rPr>
          <w:i/>
          <w:iCs/>
        </w:rPr>
        <w:t xml:space="preserve">The Journal </w:t>
      </w:r>
      <w:proofErr w:type="gramStart"/>
      <w:r w:rsidRPr="00BE67E5">
        <w:rPr>
          <w:i/>
          <w:iCs/>
        </w:rPr>
        <w:t>Of</w:t>
      </w:r>
      <w:proofErr w:type="gramEnd"/>
      <w:r w:rsidRPr="00BE67E5">
        <w:rPr>
          <w:i/>
          <w:iCs/>
        </w:rPr>
        <w:t xml:space="preserve"> Pediatric Pharmacology And Therapeutics</w:t>
      </w:r>
      <w:r w:rsidRPr="00BE67E5">
        <w:t>, </w:t>
      </w:r>
      <w:r w:rsidRPr="00BE67E5">
        <w:rPr>
          <w:i/>
          <w:iCs/>
        </w:rPr>
        <w:t>21</w:t>
      </w:r>
      <w:r w:rsidRPr="00BE67E5">
        <w:t xml:space="preserve">(2), 104-109. </w:t>
      </w:r>
      <w:hyperlink r:id="rId9" w:history="1">
        <w:r w:rsidRPr="003D026F">
          <w:rPr>
            <w:rStyle w:val="Hyperlink"/>
          </w:rPr>
          <w:t>http://dx.doi.org/10.5863/1551-6776-21.2.104</w:t>
        </w:r>
      </w:hyperlink>
    </w:p>
    <w:p w:rsidR="00DB6525" w:rsidRDefault="00DB6525" w:rsidP="0054043E">
      <w:pPr>
        <w:jc w:val="left"/>
      </w:pPr>
    </w:p>
    <w:p w:rsidR="00940FDB" w:rsidRPr="0008033D" w:rsidRDefault="00940FDB" w:rsidP="0054043E"/>
    <w:sectPr w:rsidR="00940FDB" w:rsidRPr="0008033D" w:rsidSect="003E545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520F" w:rsidRDefault="0033520F" w:rsidP="00B95DC1">
      <w:pPr>
        <w:spacing w:line="240" w:lineRule="auto"/>
      </w:pPr>
      <w:r>
        <w:separator/>
      </w:r>
    </w:p>
  </w:endnote>
  <w:endnote w:type="continuationSeparator" w:id="0">
    <w:p w:rsidR="0033520F" w:rsidRDefault="0033520F" w:rsidP="00B95D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520F" w:rsidRDefault="0033520F" w:rsidP="00B95DC1">
      <w:pPr>
        <w:spacing w:line="240" w:lineRule="auto"/>
      </w:pPr>
      <w:r>
        <w:separator/>
      </w:r>
    </w:p>
  </w:footnote>
  <w:footnote w:type="continuationSeparator" w:id="0">
    <w:p w:rsidR="0033520F" w:rsidRDefault="0033520F" w:rsidP="00B95DC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376267"/>
      <w:docPartObj>
        <w:docPartGallery w:val="Page Numbers (Top of Page)"/>
        <w:docPartUnique/>
      </w:docPartObj>
    </w:sdtPr>
    <w:sdtEndPr/>
    <w:sdtContent>
      <w:p w:rsidR="00FB30E4" w:rsidRPr="00772157" w:rsidRDefault="0054043E" w:rsidP="00E60C04">
        <w:pPr>
          <w:jc w:val="left"/>
        </w:pPr>
        <w:r>
          <w:t>HEALTH CARE TREATMENT OPTION</w:t>
        </w:r>
        <w:r w:rsidR="00FB30E4">
          <w:t xml:space="preserve">                      </w:t>
        </w:r>
        <w:r w:rsidR="00FB30E4">
          <w:tab/>
        </w:r>
        <w:r w:rsidR="00FB30E4">
          <w:tab/>
        </w:r>
        <w:r w:rsidR="00FB30E4">
          <w:tab/>
        </w:r>
        <w:r w:rsidR="00FB30E4">
          <w:tab/>
        </w:r>
        <w:r w:rsidR="00FB30E4">
          <w:tab/>
          <w:t xml:space="preserve">        </w:t>
        </w:r>
        <w:r w:rsidR="0033520F">
          <w:fldChar w:fldCharType="begin"/>
        </w:r>
        <w:r w:rsidR="0033520F">
          <w:instrText xml:space="preserve"> PAGE   \* MERGEFORMAT </w:instrText>
        </w:r>
        <w:r w:rsidR="0033520F">
          <w:fldChar w:fldCharType="separate"/>
        </w:r>
        <w:r w:rsidR="00FE38EB">
          <w:rPr>
            <w:noProof/>
          </w:rPr>
          <w:t>4</w:t>
        </w:r>
        <w:r w:rsidR="0033520F">
          <w:rPr>
            <w:noProof/>
          </w:rPr>
          <w:fldChar w:fldCharType="end"/>
        </w:r>
      </w:p>
    </w:sdtContent>
  </w:sdt>
  <w:p w:rsidR="00FB30E4" w:rsidRDefault="00FB30E4" w:rsidP="00BA1470">
    <w:pPr>
      <w:pStyle w:val="Header"/>
      <w:tabs>
        <w:tab w:val="clear" w:pos="4680"/>
        <w:tab w:val="clear" w:pos="9360"/>
        <w:tab w:val="left" w:pos="430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0E4" w:rsidRDefault="00FB30E4" w:rsidP="00E60C04">
    <w:pPr>
      <w:jc w:val="left"/>
    </w:pPr>
    <w:r>
      <w:t xml:space="preserve">Running head: </w:t>
    </w:r>
    <w:r w:rsidR="0054043E">
      <w:t xml:space="preserve">HEALTH CARE TREATMENT OPTION     </w:t>
    </w:r>
    <w:r>
      <w:t xml:space="preserve">                      </w:t>
    </w:r>
    <w:r>
      <w:tab/>
      <w:t xml:space="preserve">           </w:t>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UwNjY3NDMzNTW1MDNX0lEKTi0uzszPAykwNKgFALJgM1wtAAAA"/>
  </w:docVars>
  <w:rsids>
    <w:rsidRoot w:val="004673D5"/>
    <w:rsid w:val="000070B4"/>
    <w:rsid w:val="00011B58"/>
    <w:rsid w:val="000139E0"/>
    <w:rsid w:val="00021561"/>
    <w:rsid w:val="00022658"/>
    <w:rsid w:val="00022DD1"/>
    <w:rsid w:val="000264A5"/>
    <w:rsid w:val="00030115"/>
    <w:rsid w:val="00031338"/>
    <w:rsid w:val="00035E47"/>
    <w:rsid w:val="00040C89"/>
    <w:rsid w:val="0004122C"/>
    <w:rsid w:val="00044EFD"/>
    <w:rsid w:val="00056B60"/>
    <w:rsid w:val="00061029"/>
    <w:rsid w:val="000653C0"/>
    <w:rsid w:val="000723F3"/>
    <w:rsid w:val="00075732"/>
    <w:rsid w:val="00075774"/>
    <w:rsid w:val="0008033D"/>
    <w:rsid w:val="00082FA0"/>
    <w:rsid w:val="000848AE"/>
    <w:rsid w:val="00086E5C"/>
    <w:rsid w:val="000905B0"/>
    <w:rsid w:val="0009293A"/>
    <w:rsid w:val="000930D3"/>
    <w:rsid w:val="0009421D"/>
    <w:rsid w:val="00094F99"/>
    <w:rsid w:val="0009707C"/>
    <w:rsid w:val="000A2C68"/>
    <w:rsid w:val="000A3A7B"/>
    <w:rsid w:val="000A6A5E"/>
    <w:rsid w:val="000B3F27"/>
    <w:rsid w:val="000B7728"/>
    <w:rsid w:val="000C4735"/>
    <w:rsid w:val="000C4D4C"/>
    <w:rsid w:val="000D3522"/>
    <w:rsid w:val="000D4154"/>
    <w:rsid w:val="000D49F2"/>
    <w:rsid w:val="000E0432"/>
    <w:rsid w:val="000E1B54"/>
    <w:rsid w:val="000E1B95"/>
    <w:rsid w:val="000F16B2"/>
    <w:rsid w:val="000F2659"/>
    <w:rsid w:val="000F270D"/>
    <w:rsid w:val="000F39F3"/>
    <w:rsid w:val="0010632C"/>
    <w:rsid w:val="00110F8F"/>
    <w:rsid w:val="00116BB7"/>
    <w:rsid w:val="001212B9"/>
    <w:rsid w:val="001217FE"/>
    <w:rsid w:val="001223CA"/>
    <w:rsid w:val="001236BF"/>
    <w:rsid w:val="00124ADD"/>
    <w:rsid w:val="00133288"/>
    <w:rsid w:val="0014366C"/>
    <w:rsid w:val="0015028D"/>
    <w:rsid w:val="00152A72"/>
    <w:rsid w:val="00154F24"/>
    <w:rsid w:val="00164B6B"/>
    <w:rsid w:val="00170970"/>
    <w:rsid w:val="001736FE"/>
    <w:rsid w:val="001775AB"/>
    <w:rsid w:val="00180DC0"/>
    <w:rsid w:val="00194FB4"/>
    <w:rsid w:val="001B221A"/>
    <w:rsid w:val="001B342A"/>
    <w:rsid w:val="001B7F60"/>
    <w:rsid w:val="001C43E3"/>
    <w:rsid w:val="001C4606"/>
    <w:rsid w:val="001C5235"/>
    <w:rsid w:val="001C6B93"/>
    <w:rsid w:val="001C7743"/>
    <w:rsid w:val="001C78F1"/>
    <w:rsid w:val="001C7F47"/>
    <w:rsid w:val="001D01D4"/>
    <w:rsid w:val="001D2929"/>
    <w:rsid w:val="001D6B16"/>
    <w:rsid w:val="001E6D68"/>
    <w:rsid w:val="001F02CD"/>
    <w:rsid w:val="001F02F5"/>
    <w:rsid w:val="001F5200"/>
    <w:rsid w:val="001F5C61"/>
    <w:rsid w:val="001F74D9"/>
    <w:rsid w:val="00201A33"/>
    <w:rsid w:val="00202DBE"/>
    <w:rsid w:val="00203186"/>
    <w:rsid w:val="00211B13"/>
    <w:rsid w:val="002130C1"/>
    <w:rsid w:val="00214855"/>
    <w:rsid w:val="002151EB"/>
    <w:rsid w:val="00217207"/>
    <w:rsid w:val="002206AC"/>
    <w:rsid w:val="00221ED0"/>
    <w:rsid w:val="0022466D"/>
    <w:rsid w:val="00226BBC"/>
    <w:rsid w:val="0023093E"/>
    <w:rsid w:val="00232A3F"/>
    <w:rsid w:val="00246B67"/>
    <w:rsid w:val="00257E10"/>
    <w:rsid w:val="0026195A"/>
    <w:rsid w:val="00266E66"/>
    <w:rsid w:val="00270ADA"/>
    <w:rsid w:val="00280E97"/>
    <w:rsid w:val="002915DE"/>
    <w:rsid w:val="00291C6D"/>
    <w:rsid w:val="002925B2"/>
    <w:rsid w:val="00296909"/>
    <w:rsid w:val="002A1447"/>
    <w:rsid w:val="002A2205"/>
    <w:rsid w:val="002A27EB"/>
    <w:rsid w:val="002A49B1"/>
    <w:rsid w:val="002A67D4"/>
    <w:rsid w:val="002B2AA6"/>
    <w:rsid w:val="002B2F33"/>
    <w:rsid w:val="002B3638"/>
    <w:rsid w:val="002B755D"/>
    <w:rsid w:val="002D4973"/>
    <w:rsid w:val="002E1766"/>
    <w:rsid w:val="002E1A87"/>
    <w:rsid w:val="002E5F98"/>
    <w:rsid w:val="002F2631"/>
    <w:rsid w:val="002F4EDC"/>
    <w:rsid w:val="00301859"/>
    <w:rsid w:val="003026DC"/>
    <w:rsid w:val="00304987"/>
    <w:rsid w:val="00304DB8"/>
    <w:rsid w:val="00306B97"/>
    <w:rsid w:val="00307161"/>
    <w:rsid w:val="00311BCE"/>
    <w:rsid w:val="0031629D"/>
    <w:rsid w:val="00322C9A"/>
    <w:rsid w:val="00324DDA"/>
    <w:rsid w:val="00331ADA"/>
    <w:rsid w:val="0033367B"/>
    <w:rsid w:val="0033520F"/>
    <w:rsid w:val="0033535F"/>
    <w:rsid w:val="00342730"/>
    <w:rsid w:val="0034573D"/>
    <w:rsid w:val="00346BDA"/>
    <w:rsid w:val="00354BEC"/>
    <w:rsid w:val="0035761F"/>
    <w:rsid w:val="003608DB"/>
    <w:rsid w:val="003611CE"/>
    <w:rsid w:val="00362C30"/>
    <w:rsid w:val="00367343"/>
    <w:rsid w:val="00367777"/>
    <w:rsid w:val="00370F4F"/>
    <w:rsid w:val="003710E3"/>
    <w:rsid w:val="003745B8"/>
    <w:rsid w:val="0037679E"/>
    <w:rsid w:val="00377378"/>
    <w:rsid w:val="003902CF"/>
    <w:rsid w:val="00390611"/>
    <w:rsid w:val="00394E12"/>
    <w:rsid w:val="00395693"/>
    <w:rsid w:val="003A57F5"/>
    <w:rsid w:val="003B0F68"/>
    <w:rsid w:val="003B22B3"/>
    <w:rsid w:val="003B6331"/>
    <w:rsid w:val="003C1DB8"/>
    <w:rsid w:val="003C4E33"/>
    <w:rsid w:val="003C4EC2"/>
    <w:rsid w:val="003D245E"/>
    <w:rsid w:val="003D2725"/>
    <w:rsid w:val="003D2CD5"/>
    <w:rsid w:val="003D47F8"/>
    <w:rsid w:val="003E3BB7"/>
    <w:rsid w:val="003E545B"/>
    <w:rsid w:val="003E631A"/>
    <w:rsid w:val="003F7C29"/>
    <w:rsid w:val="003F7D5F"/>
    <w:rsid w:val="00402721"/>
    <w:rsid w:val="00420B4C"/>
    <w:rsid w:val="00425C5C"/>
    <w:rsid w:val="004313C7"/>
    <w:rsid w:val="00432544"/>
    <w:rsid w:val="004403DC"/>
    <w:rsid w:val="00440531"/>
    <w:rsid w:val="004423C8"/>
    <w:rsid w:val="00444B28"/>
    <w:rsid w:val="004561F8"/>
    <w:rsid w:val="00462676"/>
    <w:rsid w:val="004649C3"/>
    <w:rsid w:val="004666CF"/>
    <w:rsid w:val="00466AC8"/>
    <w:rsid w:val="004673D5"/>
    <w:rsid w:val="00472869"/>
    <w:rsid w:val="00473E16"/>
    <w:rsid w:val="00482032"/>
    <w:rsid w:val="00490BCA"/>
    <w:rsid w:val="0049494E"/>
    <w:rsid w:val="00496465"/>
    <w:rsid w:val="004A01DA"/>
    <w:rsid w:val="004A2528"/>
    <w:rsid w:val="004A37FC"/>
    <w:rsid w:val="004B166C"/>
    <w:rsid w:val="004B78AB"/>
    <w:rsid w:val="004C5F39"/>
    <w:rsid w:val="004D0563"/>
    <w:rsid w:val="004D35DD"/>
    <w:rsid w:val="004E01B7"/>
    <w:rsid w:val="004E1D33"/>
    <w:rsid w:val="004E6788"/>
    <w:rsid w:val="004F29BC"/>
    <w:rsid w:val="004F310F"/>
    <w:rsid w:val="004F7F77"/>
    <w:rsid w:val="00503FA5"/>
    <w:rsid w:val="005069CF"/>
    <w:rsid w:val="00507499"/>
    <w:rsid w:val="00520015"/>
    <w:rsid w:val="00524785"/>
    <w:rsid w:val="00525533"/>
    <w:rsid w:val="00527120"/>
    <w:rsid w:val="00527E15"/>
    <w:rsid w:val="00530795"/>
    <w:rsid w:val="0054043E"/>
    <w:rsid w:val="00540F5A"/>
    <w:rsid w:val="00542D2B"/>
    <w:rsid w:val="005432DB"/>
    <w:rsid w:val="00544707"/>
    <w:rsid w:val="00546904"/>
    <w:rsid w:val="005557B8"/>
    <w:rsid w:val="00563BE8"/>
    <w:rsid w:val="0056650E"/>
    <w:rsid w:val="005667F8"/>
    <w:rsid w:val="0057148B"/>
    <w:rsid w:val="00574DAE"/>
    <w:rsid w:val="005847FA"/>
    <w:rsid w:val="00584A0C"/>
    <w:rsid w:val="00585778"/>
    <w:rsid w:val="00586A57"/>
    <w:rsid w:val="00587FAD"/>
    <w:rsid w:val="00594C1A"/>
    <w:rsid w:val="005A1E8B"/>
    <w:rsid w:val="005A2AD3"/>
    <w:rsid w:val="005A4BD6"/>
    <w:rsid w:val="005A7EA3"/>
    <w:rsid w:val="005B1F74"/>
    <w:rsid w:val="005B3EFD"/>
    <w:rsid w:val="005C0EFF"/>
    <w:rsid w:val="005D150F"/>
    <w:rsid w:val="005F0FDC"/>
    <w:rsid w:val="006103B2"/>
    <w:rsid w:val="006138EB"/>
    <w:rsid w:val="006144D2"/>
    <w:rsid w:val="006166E8"/>
    <w:rsid w:val="00617B10"/>
    <w:rsid w:val="006223A1"/>
    <w:rsid w:val="00623AFF"/>
    <w:rsid w:val="00627DF9"/>
    <w:rsid w:val="00630808"/>
    <w:rsid w:val="00636311"/>
    <w:rsid w:val="00636AF1"/>
    <w:rsid w:val="00636B72"/>
    <w:rsid w:val="00650AC2"/>
    <w:rsid w:val="006543AD"/>
    <w:rsid w:val="00661110"/>
    <w:rsid w:val="00661C45"/>
    <w:rsid w:val="00665F8E"/>
    <w:rsid w:val="0067452E"/>
    <w:rsid w:val="006764E2"/>
    <w:rsid w:val="006812D3"/>
    <w:rsid w:val="00681EBA"/>
    <w:rsid w:val="0068260B"/>
    <w:rsid w:val="0068294E"/>
    <w:rsid w:val="00684161"/>
    <w:rsid w:val="00684DC7"/>
    <w:rsid w:val="0068550D"/>
    <w:rsid w:val="0069018C"/>
    <w:rsid w:val="00690A09"/>
    <w:rsid w:val="006924EF"/>
    <w:rsid w:val="006966EC"/>
    <w:rsid w:val="006A00C0"/>
    <w:rsid w:val="006B2108"/>
    <w:rsid w:val="006B6AF8"/>
    <w:rsid w:val="006C108E"/>
    <w:rsid w:val="006C1516"/>
    <w:rsid w:val="006C4EA4"/>
    <w:rsid w:val="006C5AB8"/>
    <w:rsid w:val="006C7C3B"/>
    <w:rsid w:val="006D1736"/>
    <w:rsid w:val="006E01A7"/>
    <w:rsid w:val="006E44D0"/>
    <w:rsid w:val="007137EB"/>
    <w:rsid w:val="0071763F"/>
    <w:rsid w:val="007212D2"/>
    <w:rsid w:val="00721420"/>
    <w:rsid w:val="0072291B"/>
    <w:rsid w:val="007322B2"/>
    <w:rsid w:val="00732C35"/>
    <w:rsid w:val="00736F1D"/>
    <w:rsid w:val="007451E7"/>
    <w:rsid w:val="00751C9A"/>
    <w:rsid w:val="007563DC"/>
    <w:rsid w:val="00760448"/>
    <w:rsid w:val="00762594"/>
    <w:rsid w:val="0076713B"/>
    <w:rsid w:val="007704B6"/>
    <w:rsid w:val="00772157"/>
    <w:rsid w:val="00777004"/>
    <w:rsid w:val="00780E76"/>
    <w:rsid w:val="00782C2C"/>
    <w:rsid w:val="0078466F"/>
    <w:rsid w:val="00785822"/>
    <w:rsid w:val="0079060D"/>
    <w:rsid w:val="007933C2"/>
    <w:rsid w:val="0079382C"/>
    <w:rsid w:val="0079418A"/>
    <w:rsid w:val="0079500E"/>
    <w:rsid w:val="00795A44"/>
    <w:rsid w:val="007A10D3"/>
    <w:rsid w:val="007A798D"/>
    <w:rsid w:val="007B1881"/>
    <w:rsid w:val="007C2A8F"/>
    <w:rsid w:val="007C45D7"/>
    <w:rsid w:val="007C5ECF"/>
    <w:rsid w:val="007D0EA8"/>
    <w:rsid w:val="007D1F8A"/>
    <w:rsid w:val="007D2B4D"/>
    <w:rsid w:val="007D5161"/>
    <w:rsid w:val="007E243C"/>
    <w:rsid w:val="007E2DE6"/>
    <w:rsid w:val="007E306A"/>
    <w:rsid w:val="007E605C"/>
    <w:rsid w:val="007E69F9"/>
    <w:rsid w:val="007E72AD"/>
    <w:rsid w:val="007F2015"/>
    <w:rsid w:val="00800305"/>
    <w:rsid w:val="00803190"/>
    <w:rsid w:val="008052EB"/>
    <w:rsid w:val="00810DCB"/>
    <w:rsid w:val="00811FCD"/>
    <w:rsid w:val="00813295"/>
    <w:rsid w:val="00815C1C"/>
    <w:rsid w:val="00816F4C"/>
    <w:rsid w:val="00837E85"/>
    <w:rsid w:val="008401C8"/>
    <w:rsid w:val="00842720"/>
    <w:rsid w:val="00843609"/>
    <w:rsid w:val="00847342"/>
    <w:rsid w:val="00854C89"/>
    <w:rsid w:val="00861294"/>
    <w:rsid w:val="00862672"/>
    <w:rsid w:val="00871B26"/>
    <w:rsid w:val="00872F18"/>
    <w:rsid w:val="00876E22"/>
    <w:rsid w:val="008878CD"/>
    <w:rsid w:val="0089305F"/>
    <w:rsid w:val="00893668"/>
    <w:rsid w:val="00894738"/>
    <w:rsid w:val="008A39AB"/>
    <w:rsid w:val="008A6E08"/>
    <w:rsid w:val="008B3B38"/>
    <w:rsid w:val="008C0B1B"/>
    <w:rsid w:val="008C27B7"/>
    <w:rsid w:val="008D2A11"/>
    <w:rsid w:val="008D2B19"/>
    <w:rsid w:val="008D4336"/>
    <w:rsid w:val="008D5810"/>
    <w:rsid w:val="008E3BDA"/>
    <w:rsid w:val="008E52AC"/>
    <w:rsid w:val="008E785E"/>
    <w:rsid w:val="008F2E59"/>
    <w:rsid w:val="008F600C"/>
    <w:rsid w:val="008F68DC"/>
    <w:rsid w:val="00903A24"/>
    <w:rsid w:val="009052A6"/>
    <w:rsid w:val="009062B7"/>
    <w:rsid w:val="00907F5E"/>
    <w:rsid w:val="00920274"/>
    <w:rsid w:val="0092596D"/>
    <w:rsid w:val="00926A18"/>
    <w:rsid w:val="00934BE0"/>
    <w:rsid w:val="009366B7"/>
    <w:rsid w:val="009378E9"/>
    <w:rsid w:val="00940FDB"/>
    <w:rsid w:val="00951F2A"/>
    <w:rsid w:val="00952C41"/>
    <w:rsid w:val="00955954"/>
    <w:rsid w:val="00964BED"/>
    <w:rsid w:val="0097244E"/>
    <w:rsid w:val="009764FA"/>
    <w:rsid w:val="009856D6"/>
    <w:rsid w:val="00995298"/>
    <w:rsid w:val="0099663F"/>
    <w:rsid w:val="0099695B"/>
    <w:rsid w:val="009A08A3"/>
    <w:rsid w:val="009A4395"/>
    <w:rsid w:val="009A5AC8"/>
    <w:rsid w:val="009B02EC"/>
    <w:rsid w:val="009B1096"/>
    <w:rsid w:val="009B158C"/>
    <w:rsid w:val="009B5C6F"/>
    <w:rsid w:val="009B6AF5"/>
    <w:rsid w:val="009B79C0"/>
    <w:rsid w:val="009C6722"/>
    <w:rsid w:val="009C77D1"/>
    <w:rsid w:val="009D39A3"/>
    <w:rsid w:val="009D4F9C"/>
    <w:rsid w:val="009D52EE"/>
    <w:rsid w:val="009D6DEE"/>
    <w:rsid w:val="009E2B60"/>
    <w:rsid w:val="00A05599"/>
    <w:rsid w:val="00A0719B"/>
    <w:rsid w:val="00A1552A"/>
    <w:rsid w:val="00A23564"/>
    <w:rsid w:val="00A2417F"/>
    <w:rsid w:val="00A26158"/>
    <w:rsid w:val="00A310E1"/>
    <w:rsid w:val="00A34A5C"/>
    <w:rsid w:val="00A34D17"/>
    <w:rsid w:val="00A42532"/>
    <w:rsid w:val="00A45B0F"/>
    <w:rsid w:val="00A50078"/>
    <w:rsid w:val="00A5397B"/>
    <w:rsid w:val="00A548F1"/>
    <w:rsid w:val="00A55ED3"/>
    <w:rsid w:val="00A560C7"/>
    <w:rsid w:val="00A56D13"/>
    <w:rsid w:val="00A65B3A"/>
    <w:rsid w:val="00A71CC9"/>
    <w:rsid w:val="00A73004"/>
    <w:rsid w:val="00A747D3"/>
    <w:rsid w:val="00A815DC"/>
    <w:rsid w:val="00A83DBF"/>
    <w:rsid w:val="00A83EFF"/>
    <w:rsid w:val="00A9197E"/>
    <w:rsid w:val="00A9494A"/>
    <w:rsid w:val="00AA23E1"/>
    <w:rsid w:val="00AB100B"/>
    <w:rsid w:val="00AB1403"/>
    <w:rsid w:val="00AB366F"/>
    <w:rsid w:val="00AC090A"/>
    <w:rsid w:val="00AC4CC0"/>
    <w:rsid w:val="00AD1903"/>
    <w:rsid w:val="00AD257C"/>
    <w:rsid w:val="00AD3CAC"/>
    <w:rsid w:val="00AD5B14"/>
    <w:rsid w:val="00AE135C"/>
    <w:rsid w:val="00AE1989"/>
    <w:rsid w:val="00AE57C0"/>
    <w:rsid w:val="00AE5C60"/>
    <w:rsid w:val="00AF3B68"/>
    <w:rsid w:val="00B015FA"/>
    <w:rsid w:val="00B06D06"/>
    <w:rsid w:val="00B071AD"/>
    <w:rsid w:val="00B15222"/>
    <w:rsid w:val="00B218CD"/>
    <w:rsid w:val="00B248D3"/>
    <w:rsid w:val="00B3673B"/>
    <w:rsid w:val="00B50CAA"/>
    <w:rsid w:val="00B54CA5"/>
    <w:rsid w:val="00B5750E"/>
    <w:rsid w:val="00B57F41"/>
    <w:rsid w:val="00B60155"/>
    <w:rsid w:val="00B60865"/>
    <w:rsid w:val="00B62B57"/>
    <w:rsid w:val="00B65815"/>
    <w:rsid w:val="00B7201A"/>
    <w:rsid w:val="00B750E0"/>
    <w:rsid w:val="00B76FCC"/>
    <w:rsid w:val="00B7763E"/>
    <w:rsid w:val="00B80009"/>
    <w:rsid w:val="00B80C89"/>
    <w:rsid w:val="00B90CA4"/>
    <w:rsid w:val="00B95DC1"/>
    <w:rsid w:val="00B96B77"/>
    <w:rsid w:val="00B96E36"/>
    <w:rsid w:val="00BA1470"/>
    <w:rsid w:val="00BA3243"/>
    <w:rsid w:val="00BA3C9B"/>
    <w:rsid w:val="00BA5B2C"/>
    <w:rsid w:val="00BB2994"/>
    <w:rsid w:val="00BB487E"/>
    <w:rsid w:val="00BC2055"/>
    <w:rsid w:val="00BC3292"/>
    <w:rsid w:val="00BC33E9"/>
    <w:rsid w:val="00BC51FD"/>
    <w:rsid w:val="00BC61CC"/>
    <w:rsid w:val="00BC7D17"/>
    <w:rsid w:val="00BD4EC4"/>
    <w:rsid w:val="00BD56B2"/>
    <w:rsid w:val="00BF0D06"/>
    <w:rsid w:val="00BF3A5E"/>
    <w:rsid w:val="00C00224"/>
    <w:rsid w:val="00C05411"/>
    <w:rsid w:val="00C25A28"/>
    <w:rsid w:val="00C25D39"/>
    <w:rsid w:val="00C26F64"/>
    <w:rsid w:val="00C30294"/>
    <w:rsid w:val="00C30FDC"/>
    <w:rsid w:val="00C326EE"/>
    <w:rsid w:val="00C40F5A"/>
    <w:rsid w:val="00C436CD"/>
    <w:rsid w:val="00C437E0"/>
    <w:rsid w:val="00C45E53"/>
    <w:rsid w:val="00C47396"/>
    <w:rsid w:val="00C5224D"/>
    <w:rsid w:val="00C574F6"/>
    <w:rsid w:val="00C57ACA"/>
    <w:rsid w:val="00C60AE2"/>
    <w:rsid w:val="00C633DA"/>
    <w:rsid w:val="00C66E10"/>
    <w:rsid w:val="00C671B0"/>
    <w:rsid w:val="00C6771D"/>
    <w:rsid w:val="00C677C9"/>
    <w:rsid w:val="00C76E67"/>
    <w:rsid w:val="00C850AD"/>
    <w:rsid w:val="00C85A2A"/>
    <w:rsid w:val="00C85D00"/>
    <w:rsid w:val="00C91D63"/>
    <w:rsid w:val="00C92EBE"/>
    <w:rsid w:val="00C95E19"/>
    <w:rsid w:val="00CA0BC1"/>
    <w:rsid w:val="00CA1E33"/>
    <w:rsid w:val="00CA2B1E"/>
    <w:rsid w:val="00CA6A1E"/>
    <w:rsid w:val="00CA7363"/>
    <w:rsid w:val="00CA7FB6"/>
    <w:rsid w:val="00CB2482"/>
    <w:rsid w:val="00CB6B84"/>
    <w:rsid w:val="00CC2A50"/>
    <w:rsid w:val="00CD2F7C"/>
    <w:rsid w:val="00CE2EF6"/>
    <w:rsid w:val="00CE36A9"/>
    <w:rsid w:val="00CE5971"/>
    <w:rsid w:val="00CF0D53"/>
    <w:rsid w:val="00CF36AF"/>
    <w:rsid w:val="00CF3B02"/>
    <w:rsid w:val="00CF4512"/>
    <w:rsid w:val="00D0185A"/>
    <w:rsid w:val="00D06A01"/>
    <w:rsid w:val="00D13BA8"/>
    <w:rsid w:val="00D166E3"/>
    <w:rsid w:val="00D17AB3"/>
    <w:rsid w:val="00D20FF7"/>
    <w:rsid w:val="00D24D72"/>
    <w:rsid w:val="00D24F3B"/>
    <w:rsid w:val="00D259FF"/>
    <w:rsid w:val="00D26DC7"/>
    <w:rsid w:val="00D329A2"/>
    <w:rsid w:val="00D3595B"/>
    <w:rsid w:val="00D46258"/>
    <w:rsid w:val="00D50C6B"/>
    <w:rsid w:val="00D51FFD"/>
    <w:rsid w:val="00D55AA6"/>
    <w:rsid w:val="00D64CD7"/>
    <w:rsid w:val="00D66748"/>
    <w:rsid w:val="00D706E2"/>
    <w:rsid w:val="00D718E7"/>
    <w:rsid w:val="00D73362"/>
    <w:rsid w:val="00D808F6"/>
    <w:rsid w:val="00D81940"/>
    <w:rsid w:val="00D82546"/>
    <w:rsid w:val="00D86900"/>
    <w:rsid w:val="00D87B65"/>
    <w:rsid w:val="00D95D09"/>
    <w:rsid w:val="00D965C9"/>
    <w:rsid w:val="00DA077F"/>
    <w:rsid w:val="00DA078D"/>
    <w:rsid w:val="00DA2D7E"/>
    <w:rsid w:val="00DB0F09"/>
    <w:rsid w:val="00DB13A1"/>
    <w:rsid w:val="00DB1D4E"/>
    <w:rsid w:val="00DB37F8"/>
    <w:rsid w:val="00DB3946"/>
    <w:rsid w:val="00DB3CA2"/>
    <w:rsid w:val="00DB6525"/>
    <w:rsid w:val="00DC2250"/>
    <w:rsid w:val="00DD17B5"/>
    <w:rsid w:val="00DD297F"/>
    <w:rsid w:val="00DD5847"/>
    <w:rsid w:val="00DE6BC0"/>
    <w:rsid w:val="00DF0E0B"/>
    <w:rsid w:val="00E03412"/>
    <w:rsid w:val="00E03698"/>
    <w:rsid w:val="00E12C03"/>
    <w:rsid w:val="00E202F8"/>
    <w:rsid w:val="00E20F11"/>
    <w:rsid w:val="00E23803"/>
    <w:rsid w:val="00E245DD"/>
    <w:rsid w:val="00E26DB0"/>
    <w:rsid w:val="00E27DCD"/>
    <w:rsid w:val="00E27FF6"/>
    <w:rsid w:val="00E35610"/>
    <w:rsid w:val="00E36373"/>
    <w:rsid w:val="00E414F7"/>
    <w:rsid w:val="00E41F3B"/>
    <w:rsid w:val="00E44331"/>
    <w:rsid w:val="00E55133"/>
    <w:rsid w:val="00E55F48"/>
    <w:rsid w:val="00E60C04"/>
    <w:rsid w:val="00E63ACF"/>
    <w:rsid w:val="00E64A6A"/>
    <w:rsid w:val="00E7470B"/>
    <w:rsid w:val="00E77504"/>
    <w:rsid w:val="00E8073B"/>
    <w:rsid w:val="00E83BEE"/>
    <w:rsid w:val="00E84582"/>
    <w:rsid w:val="00E933B3"/>
    <w:rsid w:val="00EA16C9"/>
    <w:rsid w:val="00EC4BF1"/>
    <w:rsid w:val="00ED0D05"/>
    <w:rsid w:val="00ED5C3F"/>
    <w:rsid w:val="00EE0402"/>
    <w:rsid w:val="00EE73CC"/>
    <w:rsid w:val="00EF0417"/>
    <w:rsid w:val="00F01BEF"/>
    <w:rsid w:val="00F06B8E"/>
    <w:rsid w:val="00F07530"/>
    <w:rsid w:val="00F118B0"/>
    <w:rsid w:val="00F1674E"/>
    <w:rsid w:val="00F20F85"/>
    <w:rsid w:val="00F2321E"/>
    <w:rsid w:val="00F2573F"/>
    <w:rsid w:val="00F25DAC"/>
    <w:rsid w:val="00F42D80"/>
    <w:rsid w:val="00F43E31"/>
    <w:rsid w:val="00F4509C"/>
    <w:rsid w:val="00F45FBC"/>
    <w:rsid w:val="00F472E0"/>
    <w:rsid w:val="00F54E46"/>
    <w:rsid w:val="00F575D9"/>
    <w:rsid w:val="00F5780F"/>
    <w:rsid w:val="00F612B7"/>
    <w:rsid w:val="00F705A9"/>
    <w:rsid w:val="00F77077"/>
    <w:rsid w:val="00F771B3"/>
    <w:rsid w:val="00F81D06"/>
    <w:rsid w:val="00F927F9"/>
    <w:rsid w:val="00FA144D"/>
    <w:rsid w:val="00FA7A0D"/>
    <w:rsid w:val="00FB30E4"/>
    <w:rsid w:val="00FC40A9"/>
    <w:rsid w:val="00FC6784"/>
    <w:rsid w:val="00FE03DE"/>
    <w:rsid w:val="00FE2868"/>
    <w:rsid w:val="00FE38EB"/>
    <w:rsid w:val="00FE76A0"/>
    <w:rsid w:val="00FF0ADC"/>
    <w:rsid w:val="00FF118B"/>
    <w:rsid w:val="00FF60AB"/>
    <w:rsid w:val="00FF78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B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7FC"/>
    <w:pPr>
      <w:ind w:left="720"/>
      <w:contextualSpacing/>
    </w:pPr>
  </w:style>
  <w:style w:type="paragraph" w:styleId="Header">
    <w:name w:val="header"/>
    <w:basedOn w:val="Normal"/>
    <w:link w:val="HeaderChar"/>
    <w:uiPriority w:val="99"/>
    <w:unhideWhenUsed/>
    <w:rsid w:val="00B95DC1"/>
    <w:pPr>
      <w:tabs>
        <w:tab w:val="center" w:pos="4680"/>
        <w:tab w:val="right" w:pos="9360"/>
      </w:tabs>
      <w:spacing w:line="240" w:lineRule="auto"/>
    </w:pPr>
  </w:style>
  <w:style w:type="character" w:customStyle="1" w:styleId="HeaderChar">
    <w:name w:val="Header Char"/>
    <w:basedOn w:val="DefaultParagraphFont"/>
    <w:link w:val="Header"/>
    <w:uiPriority w:val="99"/>
    <w:rsid w:val="00B95DC1"/>
  </w:style>
  <w:style w:type="paragraph" w:styleId="Footer">
    <w:name w:val="footer"/>
    <w:basedOn w:val="Normal"/>
    <w:link w:val="FooterChar"/>
    <w:uiPriority w:val="99"/>
    <w:unhideWhenUsed/>
    <w:rsid w:val="00B95DC1"/>
    <w:pPr>
      <w:tabs>
        <w:tab w:val="center" w:pos="4680"/>
        <w:tab w:val="right" w:pos="9360"/>
      </w:tabs>
      <w:spacing w:line="240" w:lineRule="auto"/>
    </w:pPr>
  </w:style>
  <w:style w:type="character" w:customStyle="1" w:styleId="FooterChar">
    <w:name w:val="Footer Char"/>
    <w:basedOn w:val="DefaultParagraphFont"/>
    <w:link w:val="Footer"/>
    <w:uiPriority w:val="99"/>
    <w:rsid w:val="00B95DC1"/>
  </w:style>
  <w:style w:type="paragraph" w:styleId="BalloonText">
    <w:name w:val="Balloon Text"/>
    <w:basedOn w:val="Normal"/>
    <w:link w:val="BalloonTextChar"/>
    <w:uiPriority w:val="99"/>
    <w:semiHidden/>
    <w:unhideWhenUsed/>
    <w:rsid w:val="00B95DC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DC1"/>
    <w:rPr>
      <w:rFonts w:ascii="Tahoma" w:hAnsi="Tahoma" w:cs="Tahoma"/>
      <w:sz w:val="16"/>
      <w:szCs w:val="16"/>
    </w:rPr>
  </w:style>
  <w:style w:type="character" w:styleId="Hyperlink">
    <w:name w:val="Hyperlink"/>
    <w:basedOn w:val="DefaultParagraphFont"/>
    <w:uiPriority w:val="99"/>
    <w:unhideWhenUsed/>
    <w:rsid w:val="008401C8"/>
    <w:rPr>
      <w:color w:val="0000FF" w:themeColor="hyperlink"/>
      <w:u w:val="single"/>
    </w:rPr>
  </w:style>
  <w:style w:type="character" w:customStyle="1" w:styleId="fontstyle01">
    <w:name w:val="fontstyle01"/>
    <w:basedOn w:val="DefaultParagraphFont"/>
    <w:rsid w:val="00082FA0"/>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E77504"/>
    <w:rPr>
      <w:rFonts w:ascii="TimesNewRomanPS-ItalicMT" w:hAnsi="TimesNewRomanPS-ItalicMT" w:hint="default"/>
      <w:b w:val="0"/>
      <w:bCs w:val="0"/>
      <w:i/>
      <w:iCs/>
      <w:color w:val="000000"/>
      <w:sz w:val="22"/>
      <w:szCs w:val="22"/>
    </w:rPr>
  </w:style>
  <w:style w:type="table" w:styleId="TableGrid">
    <w:name w:val="Table Grid"/>
    <w:basedOn w:val="TableNormal"/>
    <w:uiPriority w:val="59"/>
    <w:rsid w:val="00C30FDC"/>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24992">
      <w:bodyDiv w:val="1"/>
      <w:marLeft w:val="0"/>
      <w:marRight w:val="0"/>
      <w:marTop w:val="0"/>
      <w:marBottom w:val="0"/>
      <w:divBdr>
        <w:top w:val="none" w:sz="0" w:space="0" w:color="auto"/>
        <w:left w:val="none" w:sz="0" w:space="0" w:color="auto"/>
        <w:bottom w:val="none" w:sz="0" w:space="0" w:color="auto"/>
        <w:right w:val="none" w:sz="0" w:space="0" w:color="auto"/>
      </w:divBdr>
    </w:div>
    <w:div w:id="126118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4161/hv.2508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dx.doi.org/10.4161/hv.2465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dx.doi.org/10.5863/1551-6776-21.2.1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93CE0-7743-4032-8B06-19A573774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2730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2018-03-26T04:04:00Z</dcterms:created>
  <dcterms:modified xsi:type="dcterms:W3CDTF">2018-03-26T04:04:00Z</dcterms:modified>
</cp:coreProperties>
</file>